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5106" w14:textId="77777777" w:rsidR="00085FAF" w:rsidRDefault="00085FAF" w:rsidP="00085FAF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Ministerstvo financí zadalo OKD analýzu možného pokračování těžby. </w:t>
      </w:r>
    </w:p>
    <w:p w14:paraId="6D71C324" w14:textId="367CEBD6" w:rsidR="00085FAF" w:rsidRDefault="00085FAF" w:rsidP="00085FAF">
      <w:pPr>
        <w:spacing w:after="240"/>
        <w:rPr>
          <w:rFonts w:ascii="Calibri" w:hAnsi="Calibri"/>
          <w:szCs w:val="22"/>
        </w:rPr>
      </w:pPr>
      <w:r>
        <w:rPr>
          <w:b/>
          <w:bCs/>
          <w:sz w:val="28"/>
          <w:szCs w:val="28"/>
        </w:rPr>
        <w:t>Těžařská firma ji zatím plánuje ukončit ve druhém čtvrtletí příštího roku.</w:t>
      </w:r>
    </w:p>
    <w:p w14:paraId="1A2D174A" w14:textId="77777777" w:rsidR="00085FAF" w:rsidRDefault="00085FAF" w:rsidP="00085FAF">
      <w:pPr>
        <w:spacing w:line="360" w:lineRule="auto"/>
        <w:rPr>
          <w:sz w:val="24"/>
        </w:rPr>
      </w:pPr>
      <w:r w:rsidRPr="00085FAF">
        <w:rPr>
          <w:b/>
          <w:bCs/>
          <w:sz w:val="24"/>
        </w:rPr>
        <w:t>Stonava, 11. 4. 2022</w:t>
      </w:r>
      <w:r w:rsidRPr="00085FAF">
        <w:rPr>
          <w:sz w:val="24"/>
        </w:rPr>
        <w:t xml:space="preserve"> - Zajistit dostatečné dodávky uhlí pro topnou sezónu 2022/2023 </w:t>
      </w:r>
    </w:p>
    <w:p w14:paraId="7B64E8DB" w14:textId="77777777" w:rsidR="00085FAF" w:rsidRDefault="00085FAF" w:rsidP="00085FAF">
      <w:pPr>
        <w:spacing w:line="360" w:lineRule="auto"/>
        <w:rPr>
          <w:sz w:val="24"/>
        </w:rPr>
      </w:pPr>
      <w:r w:rsidRPr="00085FAF">
        <w:rPr>
          <w:sz w:val="24"/>
        </w:rPr>
        <w:t xml:space="preserve">a důkladně zvážit všechny okolnosti případného pokračování těžby i v dalších letech. </w:t>
      </w:r>
    </w:p>
    <w:p w14:paraId="405835C3" w14:textId="4EE3273B" w:rsidR="00085FAF" w:rsidRPr="00085FAF" w:rsidRDefault="00085FAF" w:rsidP="00085FAF">
      <w:pPr>
        <w:spacing w:line="360" w:lineRule="auto"/>
        <w:rPr>
          <w:sz w:val="24"/>
        </w:rPr>
      </w:pPr>
      <w:r w:rsidRPr="00085FAF">
        <w:rPr>
          <w:sz w:val="24"/>
        </w:rPr>
        <w:t>Dva klíčové úkoly státu, stoprocentního majitele OKD, obměněnému vedení těžařské firmy. Představenstvo i odbory OKD o nich dnes jednaly s náměstkem ministra financí Romanem Binderem.</w:t>
      </w:r>
    </w:p>
    <w:p w14:paraId="23CAAACB" w14:textId="7F4B304E" w:rsidR="00085FAF" w:rsidRDefault="00085FAF" w:rsidP="00085FAF">
      <w:pPr>
        <w:spacing w:line="360" w:lineRule="auto"/>
        <w:rPr>
          <w:sz w:val="24"/>
        </w:rPr>
      </w:pPr>
      <w:r w:rsidRPr="00085FAF">
        <w:rPr>
          <w:sz w:val="24"/>
        </w:rPr>
        <w:br/>
        <w:t>        Během celého roku 2022 plánuje OKD vytěžit zhruba 1,3 milionu tun uhlí. V první polovině roku 2023 pak dalších 450 tisíc tun. Přípravy důlních pracovišť pro rok 2023 začaly v těchto dnech.</w:t>
      </w:r>
    </w:p>
    <w:p w14:paraId="07800B76" w14:textId="34CFC910" w:rsidR="00061883" w:rsidRPr="00085FAF" w:rsidRDefault="00085FAF" w:rsidP="00085FAF">
      <w:pPr>
        <w:spacing w:line="360" w:lineRule="auto"/>
        <w:rPr>
          <w:sz w:val="24"/>
        </w:rPr>
      </w:pPr>
      <w:r w:rsidRPr="00085FAF">
        <w:rPr>
          <w:sz w:val="24"/>
        </w:rPr>
        <w:t>„</w:t>
      </w:r>
      <w:r w:rsidRPr="00085FAF">
        <w:rPr>
          <w:i/>
          <w:iCs/>
          <w:sz w:val="24"/>
        </w:rPr>
        <w:t>Energetické uhlí máme prodáno na celý rok 2022, u koksovatelného jsou smlouvy o prodeji uzavřeny pro první polovinu letošního roku</w:t>
      </w:r>
      <w:r>
        <w:rPr>
          <w:i/>
          <w:iCs/>
          <w:sz w:val="24"/>
        </w:rPr>
        <w:t>.</w:t>
      </w:r>
      <w:r w:rsidRPr="00085FAF">
        <w:rPr>
          <w:i/>
          <w:iCs/>
          <w:sz w:val="24"/>
        </w:rPr>
        <w:t xml:space="preserve"> V tuto chvíli jedou naplno tři poruby, postupně během letošního roku jich bude v provozu až pět. V roce 2023 plánujeme celkem čtyři poruby,</w:t>
      </w:r>
      <w:r w:rsidRPr="00085FAF">
        <w:rPr>
          <w:sz w:val="24"/>
        </w:rPr>
        <w:t>“ říká nový předseda představenstva a obchodní ředitel OKD Roman Sikora. Nejvíc vagónů uhlí z posledního fungujícího Dolu ČSM zůstává v Česku, další míří k odběratelům z okolních zemí. V případě možného dalšího prodloužení těžby by OKD muselo s přípravami začít nejpozději letos v červenci.</w:t>
      </w:r>
      <w:r w:rsidRPr="00085FAF">
        <w:rPr>
          <w:sz w:val="24"/>
        </w:rPr>
        <w:br/>
        <w:t>         „S</w:t>
      </w:r>
      <w:r w:rsidRPr="00085FAF">
        <w:rPr>
          <w:i/>
          <w:iCs/>
          <w:sz w:val="24"/>
        </w:rPr>
        <w:t>tojíme před důležitým rozhodnutím, které musíme v následujících týdnech udělat. Nejprve ale musíme dobře znát všechny okolnosti i možná rizika. Klíčových proměnných je hned několik. Ať už jde o další průběh ruské agrese na Ukrajině, cenu uhlí jako takového, všechna případná klíčová povolení a také samozřejmě dostatek personálních kapacit s patřičným vzděláním a zkušeností,</w:t>
      </w:r>
      <w:r w:rsidRPr="00085FAF">
        <w:rPr>
          <w:sz w:val="24"/>
        </w:rPr>
        <w:t>“ vysvětluje za ministerstvo financí jeho náměstek Roman Binder.</w:t>
      </w:r>
      <w:r w:rsidRPr="00085FAF">
        <w:rPr>
          <w:sz w:val="24"/>
        </w:rPr>
        <w:br/>
        <w:t>         Těžební firma má v současné chvíli zhruba 2650 vlastních zaměstnanců a 650 dodavatelských pracovníků. Prodloužení těžby do druhé poloviny příštího roku znamená prodloužení pracovní činností a dodavatelských smluv pro stávající kolektivy příprav a rubání. Žádné nové kolektivy v tuto chvíli OKD vytvářet nebude.</w:t>
      </w:r>
      <w:r w:rsidRPr="00085FAF">
        <w:rPr>
          <w:sz w:val="24"/>
        </w:rPr>
        <w:br/>
      </w:r>
    </w:p>
    <w:sectPr w:rsidR="00061883" w:rsidRPr="00085FAF" w:rsidSect="00085F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495" w:right="1133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2C23" w14:textId="77777777" w:rsidR="00370A70" w:rsidRDefault="00370A70">
      <w:r>
        <w:separator/>
      </w:r>
    </w:p>
  </w:endnote>
  <w:endnote w:type="continuationSeparator" w:id="0">
    <w:p w14:paraId="0F87BA7D" w14:textId="77777777" w:rsidR="00370A70" w:rsidRDefault="0037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  <w:gridCol w:w="567"/>
    </w:tblGrid>
    <w:tr w:rsidR="000363F9" w14:paraId="2C90ABED" w14:textId="77777777" w:rsidTr="00F877CF">
      <w:trPr>
        <w:trHeight w:val="624"/>
      </w:trPr>
      <w:tc>
        <w:tcPr>
          <w:tcW w:w="9639" w:type="dxa"/>
          <w:tcBorders>
            <w:top w:val="single" w:sz="48" w:space="0" w:color="ECECEC"/>
          </w:tcBorders>
          <w:vAlign w:val="bottom"/>
        </w:tcPr>
        <w:p w14:paraId="38247CD6" w14:textId="77777777" w:rsidR="000363F9" w:rsidRDefault="000363F9" w:rsidP="00FD522F">
          <w:pPr>
            <w:pStyle w:val="Zpat"/>
          </w:pPr>
        </w:p>
      </w:tc>
      <w:tc>
        <w:tcPr>
          <w:tcW w:w="567" w:type="dxa"/>
          <w:tcBorders>
            <w:top w:val="single" w:sz="48" w:space="0" w:color="ECECEC"/>
          </w:tcBorders>
          <w:vAlign w:val="bottom"/>
        </w:tcPr>
        <w:p w14:paraId="6AD5F123" w14:textId="77777777" w:rsidR="000363F9" w:rsidRPr="00015201" w:rsidRDefault="0023515B" w:rsidP="00F877CF">
          <w:pPr>
            <w:pStyle w:val="Zapati2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6188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363F9">
            <w:t>/</w:t>
          </w:r>
          <w:r w:rsidR="00CE15DC" w:rsidRPr="00F877CF">
            <w:rPr>
              <w:rStyle w:val="slostrnky"/>
              <w:color w:val="464646"/>
            </w:rPr>
            <w:fldChar w:fldCharType="begin"/>
          </w:r>
          <w:r w:rsidR="000363F9" w:rsidRPr="00F877CF">
            <w:rPr>
              <w:rStyle w:val="slostrnky"/>
              <w:color w:val="464646"/>
            </w:rPr>
            <w:instrText xml:space="preserve"> NUMPAGES </w:instrText>
          </w:r>
          <w:r w:rsidR="00CE15DC" w:rsidRPr="00F877CF">
            <w:rPr>
              <w:rStyle w:val="slostrnky"/>
              <w:color w:val="464646"/>
            </w:rPr>
            <w:fldChar w:fldCharType="separate"/>
          </w:r>
          <w:r w:rsidR="00681931">
            <w:rPr>
              <w:rStyle w:val="slostrnky"/>
              <w:noProof/>
              <w:color w:val="464646"/>
            </w:rPr>
            <w:t>1</w:t>
          </w:r>
          <w:r w:rsidR="00CE15DC" w:rsidRPr="00F877CF">
            <w:rPr>
              <w:rStyle w:val="slostrnky"/>
              <w:color w:val="464646"/>
            </w:rPr>
            <w:fldChar w:fldCharType="end"/>
          </w:r>
        </w:p>
      </w:tc>
    </w:tr>
  </w:tbl>
  <w:p w14:paraId="45205F44" w14:textId="77777777" w:rsidR="000363F9" w:rsidRDefault="000363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6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552"/>
      <w:gridCol w:w="554"/>
    </w:tblGrid>
    <w:tr w:rsidR="00061883" w14:paraId="1520603F" w14:textId="77777777" w:rsidTr="004049A0">
      <w:trPr>
        <w:trHeight w:val="194"/>
      </w:trPr>
      <w:tc>
        <w:tcPr>
          <w:tcW w:w="10106" w:type="dxa"/>
          <w:gridSpan w:val="2"/>
          <w:tcBorders>
            <w:bottom w:val="single" w:sz="48" w:space="0" w:color="ECECEC"/>
          </w:tcBorders>
        </w:tcPr>
        <w:p w14:paraId="7751B883" w14:textId="77777777" w:rsidR="00061883" w:rsidRDefault="00061883" w:rsidP="00FD522F">
          <w:pPr>
            <w:pStyle w:val="Zpat"/>
          </w:pPr>
        </w:p>
      </w:tc>
    </w:tr>
    <w:tr w:rsidR="00061883" w14:paraId="7D2D3333" w14:textId="77777777" w:rsidTr="004049A0">
      <w:trPr>
        <w:trHeight w:val="623"/>
      </w:trPr>
      <w:tc>
        <w:tcPr>
          <w:tcW w:w="10106" w:type="dxa"/>
          <w:gridSpan w:val="2"/>
          <w:tcBorders>
            <w:top w:val="single" w:sz="48" w:space="0" w:color="ECECEC"/>
            <w:bottom w:val="single" w:sz="48" w:space="0" w:color="ECECEC"/>
          </w:tcBorders>
          <w:vAlign w:val="center"/>
        </w:tcPr>
        <w:p w14:paraId="1618FEAC" w14:textId="5C802CFF" w:rsidR="00346A54" w:rsidRDefault="00346A54" w:rsidP="00346A54">
          <w:pPr>
            <w:pStyle w:val="Zpat"/>
          </w:pPr>
          <w:r>
            <w:t xml:space="preserve">OKD, a.s. | </w:t>
          </w:r>
          <w:r w:rsidR="004049A0">
            <w:t>Stonava 1077</w:t>
          </w:r>
          <w:r>
            <w:t xml:space="preserve"> | </w:t>
          </w:r>
          <w:r w:rsidR="004049A0">
            <w:t>735 34 Stonava</w:t>
          </w:r>
        </w:p>
        <w:p w14:paraId="57EEBF49" w14:textId="37C12051" w:rsidR="00061883" w:rsidRPr="00015201" w:rsidRDefault="00346A54" w:rsidP="00346A54">
          <w:pPr>
            <w:pStyle w:val="Zpat"/>
          </w:pPr>
          <w:r>
            <w:t xml:space="preserve">Telefon +420 596 </w:t>
          </w:r>
          <w:r w:rsidR="004049A0">
            <w:t>45</w:t>
          </w:r>
          <w:r>
            <w:t>1 111 | E-mail info@okd.cz | www.okd.cz</w:t>
          </w:r>
        </w:p>
      </w:tc>
    </w:tr>
    <w:tr w:rsidR="000363F9" w14:paraId="7DF7F996" w14:textId="77777777" w:rsidTr="004049A0">
      <w:trPr>
        <w:trHeight w:val="428"/>
      </w:trPr>
      <w:tc>
        <w:tcPr>
          <w:tcW w:w="9552" w:type="dxa"/>
          <w:tcBorders>
            <w:top w:val="single" w:sz="48" w:space="0" w:color="ECECEC"/>
          </w:tcBorders>
          <w:vAlign w:val="bottom"/>
        </w:tcPr>
        <w:p w14:paraId="35E25995" w14:textId="469BBFA0" w:rsidR="000363F9" w:rsidRDefault="000363F9" w:rsidP="00D86C59">
          <w:pPr>
            <w:pStyle w:val="Zpat"/>
          </w:pPr>
        </w:p>
      </w:tc>
      <w:tc>
        <w:tcPr>
          <w:tcW w:w="553" w:type="dxa"/>
          <w:tcBorders>
            <w:top w:val="single" w:sz="48" w:space="0" w:color="ECECEC"/>
          </w:tcBorders>
          <w:vAlign w:val="bottom"/>
        </w:tcPr>
        <w:p w14:paraId="47936E36" w14:textId="77777777" w:rsidR="000363F9" w:rsidRPr="00015201" w:rsidRDefault="0023515B" w:rsidP="00F877CF">
          <w:pPr>
            <w:pStyle w:val="Zapati2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8193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363F9">
            <w:t>/</w:t>
          </w:r>
          <w:r w:rsidR="00CE15DC" w:rsidRPr="00F877CF">
            <w:rPr>
              <w:rStyle w:val="slostrnky"/>
              <w:color w:val="464646"/>
            </w:rPr>
            <w:fldChar w:fldCharType="begin"/>
          </w:r>
          <w:r w:rsidR="000363F9" w:rsidRPr="00F877CF">
            <w:rPr>
              <w:rStyle w:val="slostrnky"/>
              <w:color w:val="464646"/>
            </w:rPr>
            <w:instrText xml:space="preserve"> NUMPAGES </w:instrText>
          </w:r>
          <w:r w:rsidR="00CE15DC" w:rsidRPr="00F877CF">
            <w:rPr>
              <w:rStyle w:val="slostrnky"/>
              <w:color w:val="464646"/>
            </w:rPr>
            <w:fldChar w:fldCharType="separate"/>
          </w:r>
          <w:r w:rsidR="00681931">
            <w:rPr>
              <w:rStyle w:val="slostrnky"/>
              <w:noProof/>
              <w:color w:val="464646"/>
            </w:rPr>
            <w:t>1</w:t>
          </w:r>
          <w:r w:rsidR="00CE15DC" w:rsidRPr="00F877CF">
            <w:rPr>
              <w:rStyle w:val="slostrnky"/>
              <w:color w:val="464646"/>
            </w:rPr>
            <w:fldChar w:fldCharType="end"/>
          </w:r>
        </w:p>
      </w:tc>
    </w:tr>
  </w:tbl>
  <w:p w14:paraId="2D2EE5E1" w14:textId="77777777" w:rsidR="000363F9" w:rsidRDefault="00036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0E70" w14:textId="77777777" w:rsidR="00370A70" w:rsidRDefault="00370A70">
      <w:r>
        <w:separator/>
      </w:r>
    </w:p>
  </w:footnote>
  <w:footnote w:type="continuationSeparator" w:id="0">
    <w:p w14:paraId="276FCEE0" w14:textId="77777777" w:rsidR="00370A70" w:rsidRDefault="0037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5424" w14:textId="65FCB9F7" w:rsidR="000363F9" w:rsidRDefault="00D86C59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B03EFAB" wp14:editId="010E276D">
          <wp:simplePos x="0" y="0"/>
          <wp:positionH relativeFrom="page">
            <wp:posOffset>644525</wp:posOffset>
          </wp:positionH>
          <wp:positionV relativeFrom="page">
            <wp:posOffset>297815</wp:posOffset>
          </wp:positionV>
          <wp:extent cx="2305050" cy="628650"/>
          <wp:effectExtent l="19050" t="0" r="0" b="0"/>
          <wp:wrapNone/>
          <wp:docPr id="3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5E2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70B2BD6" wp14:editId="16E839C3">
              <wp:simplePos x="0" y="0"/>
              <wp:positionH relativeFrom="page">
                <wp:posOffset>71755</wp:posOffset>
              </wp:positionH>
              <wp:positionV relativeFrom="page">
                <wp:posOffset>3600450</wp:posOffset>
              </wp:positionV>
              <wp:extent cx="179705" cy="0"/>
              <wp:effectExtent l="5080" t="9525" r="571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B961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83.5pt" to="19.8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089B" w14:textId="29E11161" w:rsidR="000363F9" w:rsidRDefault="00D86C59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29D5CCE" wp14:editId="09FE0253">
          <wp:simplePos x="0" y="0"/>
          <wp:positionH relativeFrom="page">
            <wp:posOffset>644525</wp:posOffset>
          </wp:positionH>
          <wp:positionV relativeFrom="page">
            <wp:posOffset>299085</wp:posOffset>
          </wp:positionV>
          <wp:extent cx="2305050" cy="628650"/>
          <wp:effectExtent l="19050" t="0" r="0" b="0"/>
          <wp:wrapNone/>
          <wp:docPr id="34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5E2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0ABDDD0" wp14:editId="6963848D">
              <wp:simplePos x="0" y="0"/>
              <wp:positionH relativeFrom="page">
                <wp:posOffset>71755</wp:posOffset>
              </wp:positionH>
              <wp:positionV relativeFrom="page">
                <wp:posOffset>3600450</wp:posOffset>
              </wp:positionV>
              <wp:extent cx="179705" cy="0"/>
              <wp:effectExtent l="5080" t="9525" r="571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AA69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83.5pt" to="19.8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B05C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C7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FA6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EC4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8BA5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C2060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3D7580"/>
    <w:multiLevelType w:val="multilevel"/>
    <w:tmpl w:val="140A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2B4D52ED"/>
    <w:multiLevelType w:val="multilevel"/>
    <w:tmpl w:val="EB0CD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364E7E56"/>
    <w:multiLevelType w:val="multilevel"/>
    <w:tmpl w:val="9A6E1A30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530409BD"/>
    <w:multiLevelType w:val="multilevel"/>
    <w:tmpl w:val="223A6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607C529F"/>
    <w:multiLevelType w:val="multilevel"/>
    <w:tmpl w:val="6986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AC"/>
    <w:rsid w:val="00015201"/>
    <w:rsid w:val="00023C5F"/>
    <w:rsid w:val="000363F9"/>
    <w:rsid w:val="00037EE9"/>
    <w:rsid w:val="00061883"/>
    <w:rsid w:val="00061F1B"/>
    <w:rsid w:val="00062894"/>
    <w:rsid w:val="00074C5F"/>
    <w:rsid w:val="0008096C"/>
    <w:rsid w:val="00085FAF"/>
    <w:rsid w:val="000C673E"/>
    <w:rsid w:val="001026B2"/>
    <w:rsid w:val="0010603D"/>
    <w:rsid w:val="00112668"/>
    <w:rsid w:val="00151B9D"/>
    <w:rsid w:val="00166A48"/>
    <w:rsid w:val="00173F5E"/>
    <w:rsid w:val="00187AC3"/>
    <w:rsid w:val="0023515B"/>
    <w:rsid w:val="002413E9"/>
    <w:rsid w:val="00266E57"/>
    <w:rsid w:val="00293FCC"/>
    <w:rsid w:val="002B3E2A"/>
    <w:rsid w:val="002B4287"/>
    <w:rsid w:val="002B4CF2"/>
    <w:rsid w:val="002D2A6E"/>
    <w:rsid w:val="002D3EDD"/>
    <w:rsid w:val="003219F7"/>
    <w:rsid w:val="00346A54"/>
    <w:rsid w:val="00370A70"/>
    <w:rsid w:val="00376B02"/>
    <w:rsid w:val="003836EF"/>
    <w:rsid w:val="003C1A97"/>
    <w:rsid w:val="003D763E"/>
    <w:rsid w:val="004049A0"/>
    <w:rsid w:val="004255BF"/>
    <w:rsid w:val="00447B8A"/>
    <w:rsid w:val="00454D62"/>
    <w:rsid w:val="004B5DDD"/>
    <w:rsid w:val="004B61E5"/>
    <w:rsid w:val="004E7AC3"/>
    <w:rsid w:val="005047BA"/>
    <w:rsid w:val="00510B2E"/>
    <w:rsid w:val="00510BAE"/>
    <w:rsid w:val="00525B57"/>
    <w:rsid w:val="005B443C"/>
    <w:rsid w:val="005C5AC2"/>
    <w:rsid w:val="005D5B2E"/>
    <w:rsid w:val="00614CC0"/>
    <w:rsid w:val="00624D1A"/>
    <w:rsid w:val="0065518A"/>
    <w:rsid w:val="00666C46"/>
    <w:rsid w:val="00681931"/>
    <w:rsid w:val="006B36F0"/>
    <w:rsid w:val="006C4C32"/>
    <w:rsid w:val="006D1C3F"/>
    <w:rsid w:val="007221A9"/>
    <w:rsid w:val="00723FD0"/>
    <w:rsid w:val="00767AAA"/>
    <w:rsid w:val="00775C5E"/>
    <w:rsid w:val="007B5E56"/>
    <w:rsid w:val="007E31E6"/>
    <w:rsid w:val="00807341"/>
    <w:rsid w:val="008420C2"/>
    <w:rsid w:val="008570D5"/>
    <w:rsid w:val="0086169A"/>
    <w:rsid w:val="008F498C"/>
    <w:rsid w:val="0094431A"/>
    <w:rsid w:val="009C146E"/>
    <w:rsid w:val="009C71AC"/>
    <w:rsid w:val="009E7470"/>
    <w:rsid w:val="00A21DBD"/>
    <w:rsid w:val="00AB4873"/>
    <w:rsid w:val="00B24AA7"/>
    <w:rsid w:val="00B31FD9"/>
    <w:rsid w:val="00B63574"/>
    <w:rsid w:val="00BD2B2F"/>
    <w:rsid w:val="00C15DFB"/>
    <w:rsid w:val="00C3124E"/>
    <w:rsid w:val="00C36B03"/>
    <w:rsid w:val="00C535E2"/>
    <w:rsid w:val="00C57CB7"/>
    <w:rsid w:val="00CA6C60"/>
    <w:rsid w:val="00CB364E"/>
    <w:rsid w:val="00CD0405"/>
    <w:rsid w:val="00CE15DC"/>
    <w:rsid w:val="00CE3BFC"/>
    <w:rsid w:val="00D036A4"/>
    <w:rsid w:val="00D067A6"/>
    <w:rsid w:val="00D13551"/>
    <w:rsid w:val="00D26951"/>
    <w:rsid w:val="00D85F94"/>
    <w:rsid w:val="00D86C59"/>
    <w:rsid w:val="00D919E7"/>
    <w:rsid w:val="00D922AC"/>
    <w:rsid w:val="00DE149E"/>
    <w:rsid w:val="00E03695"/>
    <w:rsid w:val="00E170A5"/>
    <w:rsid w:val="00E56F54"/>
    <w:rsid w:val="00F65F79"/>
    <w:rsid w:val="00F877CF"/>
    <w:rsid w:val="00F92097"/>
    <w:rsid w:val="00F971F0"/>
    <w:rsid w:val="00FC1783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47620"/>
  <w15:docId w15:val="{15DD4F9A-9D5D-4EF9-8ED4-74CEB656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170A5"/>
    <w:pPr>
      <w:spacing w:line="28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2D3EDD"/>
    <w:pPr>
      <w:keepNext/>
      <w:spacing w:line="3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0603D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F92097"/>
    <w:pPr>
      <w:keepNext/>
      <w:spacing w:before="360" w:after="22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66C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201"/>
    <w:pPr>
      <w:tabs>
        <w:tab w:val="center" w:pos="4536"/>
        <w:tab w:val="right" w:pos="9072"/>
      </w:tabs>
      <w:spacing w:line="200" w:lineRule="atLeast"/>
    </w:pPr>
    <w:rPr>
      <w:color w:val="464646"/>
      <w:sz w:val="16"/>
    </w:rPr>
  </w:style>
  <w:style w:type="paragraph" w:customStyle="1" w:styleId="Bold">
    <w:name w:val="Bold"/>
    <w:basedOn w:val="Normln"/>
    <w:rsid w:val="00E170A5"/>
    <w:rPr>
      <w:b/>
    </w:rPr>
  </w:style>
  <w:style w:type="table" w:styleId="Mkatabulky">
    <w:name w:val="Table Grid"/>
    <w:basedOn w:val="Normlntabulka"/>
    <w:rsid w:val="003836EF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Zapati2">
    <w:name w:val="Zapati_2"/>
    <w:basedOn w:val="Zpat"/>
    <w:rsid w:val="00015201"/>
    <w:rPr>
      <w:color w:val="auto"/>
    </w:rPr>
  </w:style>
  <w:style w:type="paragraph" w:customStyle="1" w:styleId="BoldM">
    <w:name w:val="Bold_M"/>
    <w:basedOn w:val="Bold"/>
    <w:rsid w:val="00F65F79"/>
    <w:pPr>
      <w:jc w:val="center"/>
    </w:pPr>
    <w:rPr>
      <w:bCs/>
      <w:szCs w:val="20"/>
    </w:rPr>
  </w:style>
  <w:style w:type="paragraph" w:customStyle="1" w:styleId="Number1">
    <w:name w:val="Number 1"/>
    <w:basedOn w:val="Normln"/>
    <w:rsid w:val="007E31E6"/>
    <w:pPr>
      <w:numPr>
        <w:numId w:val="5"/>
      </w:numPr>
    </w:pPr>
  </w:style>
  <w:style w:type="paragraph" w:customStyle="1" w:styleId="Number2">
    <w:name w:val="Number 2"/>
    <w:basedOn w:val="Normln"/>
    <w:rsid w:val="007E31E6"/>
    <w:pPr>
      <w:numPr>
        <w:ilvl w:val="1"/>
        <w:numId w:val="5"/>
      </w:numPr>
    </w:pPr>
  </w:style>
  <w:style w:type="paragraph" w:customStyle="1" w:styleId="Nadpis3m">
    <w:name w:val="Nadpis 3 m"/>
    <w:basedOn w:val="Nadpis3"/>
    <w:rsid w:val="00C3124E"/>
    <w:pPr>
      <w:jc w:val="center"/>
    </w:pPr>
    <w:rPr>
      <w:rFonts w:cs="Times New Roman"/>
      <w:szCs w:val="20"/>
    </w:rPr>
  </w:style>
  <w:style w:type="paragraph" w:customStyle="1" w:styleId="Nadpis3mP4b">
    <w:name w:val="Nadpis 3 m P4 b."/>
    <w:basedOn w:val="Nadpis3m"/>
    <w:rsid w:val="006C4C32"/>
    <w:pPr>
      <w:spacing w:before="80"/>
    </w:pPr>
  </w:style>
  <w:style w:type="character" w:styleId="slostrnky">
    <w:name w:val="page number"/>
    <w:basedOn w:val="Standardnpsmoodstavce"/>
    <w:rsid w:val="00723FD0"/>
  </w:style>
  <w:style w:type="paragraph" w:customStyle="1" w:styleId="NormalM">
    <w:name w:val="Normal M"/>
    <w:basedOn w:val="Normln"/>
    <w:rsid w:val="00C15DFB"/>
    <w:pPr>
      <w:jc w:val="center"/>
    </w:pPr>
    <w:rPr>
      <w:szCs w:val="20"/>
    </w:rPr>
  </w:style>
  <w:style w:type="paragraph" w:customStyle="1" w:styleId="Podpisdva">
    <w:name w:val="Podpis_dva"/>
    <w:basedOn w:val="Normln"/>
    <w:rsid w:val="00293FCC"/>
    <w:pPr>
      <w:tabs>
        <w:tab w:val="left" w:pos="6804"/>
      </w:tabs>
    </w:pPr>
  </w:style>
  <w:style w:type="paragraph" w:customStyle="1" w:styleId="N8">
    <w:name w:val="N8"/>
    <w:basedOn w:val="Normln"/>
    <w:rsid w:val="00112668"/>
    <w:pPr>
      <w:spacing w:line="200" w:lineRule="atLeast"/>
    </w:pPr>
    <w:rPr>
      <w:sz w:val="16"/>
    </w:rPr>
  </w:style>
  <w:style w:type="character" w:customStyle="1" w:styleId="nowrap">
    <w:name w:val="nowrap"/>
    <w:basedOn w:val="Standardnpsmoodstavce"/>
    <w:rsid w:val="00D8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Tobiasova\Documents\dopisy\&#353;ablony%20dopis&#367;\Karvin&#225;_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Karviná_dopis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Tobiášová Irena</dc:creator>
  <cp:lastModifiedBy>Pavlíková Renata Mgr.</cp:lastModifiedBy>
  <cp:revision>2</cp:revision>
  <cp:lastPrinted>1899-12-31T23:00:00Z</cp:lastPrinted>
  <dcterms:created xsi:type="dcterms:W3CDTF">2022-04-11T13:02:00Z</dcterms:created>
  <dcterms:modified xsi:type="dcterms:W3CDTF">2022-04-11T13:02:00Z</dcterms:modified>
</cp:coreProperties>
</file>