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0C" w:rsidRPr="004F230C" w:rsidRDefault="004F230C" w:rsidP="004F230C">
      <w:pPr>
        <w:spacing w:after="120" w:line="240" w:lineRule="auto"/>
        <w:jc w:val="center"/>
        <w:outlineLvl w:val="1"/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  <w:t xml:space="preserve">Iniciativa průmyslníků pro podporu transformace Moravskoslezského kraje k nízkouhlíkové ekonomice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Iniciativa průmyslníků představuje spolupráci na dlouhodobém procesu transformace regionální ekonomiky na odolnější, technologicky vyspělejší a udržitelnou nízkouhlíkovou ekonomiku, která zásadním způsobem přispívá prosperitě kraje a jeho obyvatel.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Cílem iniciativy je současně z krátkodobého hlediska přispět k obnově, reformě a posílení odolnosti kraje po dopadech opatření reagujících na globální pandemii COVID-19, ekonomiku znovu rychle nastartovat a obnovit.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Iniciativu reprezentují generální ředitelé významných průmyslových holdingů, jež napříč sektory zaměstnávají 25 tis. lidí, generujících obrat ve výši 116 mld. Kč. Tyto firmy respektují závěry Pařížské dohody a jsou si vědomy potřeby dekarbonizace svých provozů. </w:t>
      </w:r>
    </w:p>
    <w:p w:rsidR="004F230C" w:rsidRPr="004F230C" w:rsidRDefault="004F230C" w:rsidP="004F230C">
      <w:pPr>
        <w:spacing w:after="0" w:line="240" w:lineRule="auto"/>
        <w:jc w:val="both"/>
        <w:outlineLvl w:val="1"/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  <w:t xml:space="preserve">Naše přispění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Jsme připraveni přispět naším podílem k dosažení cílů Evropské zelené dohody.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Jsme připraveni, v souladu s našimi strategiemi a zkušenostmi, přispět návrhy a řešeními v těchto oblastech Evropské zelené dohody: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noProof/>
          <w:color w:val="212529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BB2BA0D" wp14:editId="1C8DC9EF">
                <wp:extent cx="304800" cy="304800"/>
                <wp:effectExtent l="0" t="0" r="0" b="0"/>
                <wp:docPr id="4" name="tree" descr="http://prumyslnicimsk.cz.webx5.d2.cz/wp-content/themes/prumysl/images/IP_MSK_znak_ikon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7341E" id="tree" o:spid="_x0000_s1026" alt="http://prumyslnicimsk.cz.webx5.d2.cz/wp-content/themes/prumysl/images/IP_MSK_znak_ikon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QDUL75&#10;AgAAF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Dekarbonizace a snížení emisí</w:t>
      </w:r>
    </w:p>
    <w:p w:rsidR="004F230C" w:rsidRPr="004F230C" w:rsidRDefault="004F230C" w:rsidP="004F230C">
      <w:pPr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Nízkouhlíkové a bezemisní inovace</w:t>
      </w:r>
    </w:p>
    <w:p w:rsidR="004F230C" w:rsidRPr="004F230C" w:rsidRDefault="004F230C" w:rsidP="004F230C">
      <w:pPr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Cirkulární ekonomika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V těchto 3 oblastech budeme pracovat na projektech a řešeních, kterými naše společnosti přispějí ke snížení produkce CO2, udržitelnému růstu a vytvoření nových pracovních míst. </w:t>
      </w:r>
    </w:p>
    <w:p w:rsidR="004F230C" w:rsidRPr="004F230C" w:rsidRDefault="004F230C" w:rsidP="004F230C">
      <w:pPr>
        <w:spacing w:after="0" w:line="240" w:lineRule="auto"/>
        <w:jc w:val="both"/>
        <w:outlineLvl w:val="1"/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  <w:t>Specifická doporučení – udržitelná, inovativní a digitální řešení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Pro transformaci průmyslu potřebujeme dostatek čisté energie. Rychlé omezení zdrojů energie z fosilních paliv je ohrožením pro fungování energeticky intenzivních průmyslových provozů. Pro přechodnou fázi vidíme jako nezbytné využít kapacit zemního plynu, zároveň silně podporujeme rapidní nárůst energetiky z obnovitelných zdrojů.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Pro zajištění nákladově efektivní elektrifikace je nezbytné posílit distribuční síť, podporovat chytré energetické gridy, podpořit dobíjecí infrastrukturu pro e-mobilitu. Velký potenciál vidíme ve využití vodíku, který může být využit jak v mobilitě, tak v technologických procesech v průmyslu, a také v dalších alternativních palivech, které mohou být klíčovým prvkem dekarbonizace.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Nezbytnou součástí modernizace průmyslu je masivní digitalizace, automatizace a robotizace, nástup strojového učení a umělé inteligence. Jen tak je možné udržet konkurenceschopnost firem v regionu.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Významnou při procesu transformace firem vidíme potřebu nových kompetencí, na což by měl reagovat také vzdělávací systém v kraji, a to na všech úrovních. Bez technicky vzdělaných lidí nebude přechod na nízkouhlíkovou ekonomiku možný.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Klíčovou roli sehraje v modernizačním procesu výzkum a vývoj, a to nejen ten podnikový, ale rovněž jsou důležité kapacity veřejných výzkumných institucí a univerzit na aplikovaný výzkum a vývoj, potažmo na transfer technologií do firem. Velkým tématem pro VaV je uchovávání energie a uhlíkové zachycování (carbon capture), uchovávání (storage) a využívání.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Jsme přesvědčeni o potenciálu více využívat principů cirkulární ekonomiky, kde je rovněž velký prostor pro výzkumně-vývojové aktivity. </w:t>
      </w:r>
    </w:p>
    <w:p w:rsidR="004F230C" w:rsidRPr="004F230C" w:rsidRDefault="004F230C" w:rsidP="004F230C">
      <w:pPr>
        <w:spacing w:after="0" w:line="240" w:lineRule="auto"/>
        <w:jc w:val="both"/>
        <w:outlineLvl w:val="1"/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  <w:t xml:space="preserve">Spravedlivá transformace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Náklady přechodu firem na odchod od fosilních paliv a nízkouhlíkový provoz jsou velmi vysoké. Historicky je spojen rozvoj průmyslu a jeho zaměření s těžbou uhlí a na to navázanými </w:t>
      </w: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lastRenderedPageBreak/>
        <w:t xml:space="preserve">odvětvími (ocelářství, těžké strojírenství apod.). Výrobní procesy bude nutné významně redesignovat, investovat do nových výrobních postupů a zařízení. Vyžádané změny jsou radikální a bez podpory z veřejných zdrojů nebudou, v některých případech, ekonomicky proveditelné.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„No one left behind“, tak zní motto nově vytvářeného Mechanismu spravedlivé transformace, který má podporou z EU zdrojů pomoci přechodu na nízkouhlíkovou ekonomiku zhruba stovce uhelných a uhlíkově-intenzivních regionů v EU. Moravskoslezský kraj patří mezi vybrané uhelné regiony a na transformaci získá zdroje z Fondu pro spravedlivou transformaci a dalších podpůrných nástrojů EU. 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Součástí Iniciativy průmyslníků MSK je rovněž ambice transparentního dialogu se samosprávou Moravskoslezského kraje při tvorbě Plánu spravedlivé územní transformace a nastavování transformačních priorit. Podobně pak společná ambice průmyslníků míří k dialogu s národní a evropskou úrovní. </w:t>
      </w:r>
    </w:p>
    <w:p w:rsidR="004F230C" w:rsidRPr="004F230C" w:rsidRDefault="004F230C" w:rsidP="004F230C">
      <w:pPr>
        <w:spacing w:after="0" w:line="240" w:lineRule="auto"/>
        <w:jc w:val="both"/>
        <w:outlineLvl w:val="1"/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sz w:val="36"/>
          <w:szCs w:val="36"/>
          <w:lang w:eastAsia="cs-CZ"/>
        </w:rPr>
        <w:t>Společná deklarace: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 xml:space="preserve">Touto inciativou průmyslníků vyjadřujeme vůli být partnerem při transformaci Moravskoslezského kraje, kde chceme nadále udržitelně podnikat. Naší snahou je naší prací a naší produkcí přispět k odolnosti, udržitelnosti a soběstačnosti ČR a EU.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3500"/>
      </w:tblGrid>
      <w:tr w:rsidR="004F230C" w:rsidRPr="004F230C" w:rsidTr="004F230C"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AL INVEST Břidličná, a.s. (MTX Group a.s.)</w:t>
            </w:r>
          </w:p>
        </w:tc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David Bečvář</w:t>
            </w:r>
          </w:p>
        </w:tc>
      </w:tr>
      <w:tr w:rsidR="004F230C" w:rsidRPr="004F230C" w:rsidTr="004F230C"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BONATRANS GROUP a.s.</w:t>
            </w:r>
          </w:p>
        </w:tc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Jakub Weimann</w:t>
            </w:r>
          </w:p>
        </w:tc>
      </w:tr>
      <w:tr w:rsidR="004F230C" w:rsidRPr="004F230C" w:rsidTr="004F230C"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Brose CZ spol. s r.o.</w:t>
            </w:r>
          </w:p>
        </w:tc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Niclas Pfüller-von Wobesser</w:t>
            </w:r>
          </w:p>
        </w:tc>
      </w:tr>
      <w:tr w:rsidR="004F230C" w:rsidRPr="004F230C" w:rsidTr="004F230C"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Liberty Ostrava a.s.</w:t>
            </w:r>
          </w:p>
        </w:tc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Pascal Genest</w:t>
            </w:r>
          </w:p>
        </w:tc>
      </w:tr>
      <w:tr w:rsidR="004F230C" w:rsidRPr="004F230C" w:rsidTr="004F230C"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OSTROJ a.s.</w:t>
            </w:r>
          </w:p>
        </w:tc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Dalibor Kunčický</w:t>
            </w:r>
          </w:p>
        </w:tc>
      </w:tr>
      <w:tr w:rsidR="004F230C" w:rsidRPr="004F230C" w:rsidTr="004F230C"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TŘINECKÉ ŽELEZÁRNY, a.s. (TŽ-MS)</w:t>
            </w:r>
          </w:p>
        </w:tc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Jan Czudek</w:t>
            </w:r>
          </w:p>
        </w:tc>
      </w:tr>
      <w:tr w:rsidR="004F230C" w:rsidRPr="004F230C" w:rsidTr="004F230C"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VÍTKOVICE STEEL, a.s.</w:t>
            </w:r>
          </w:p>
        </w:tc>
        <w:tc>
          <w:tcPr>
            <w:tcW w:w="0" w:type="auto"/>
            <w:vAlign w:val="center"/>
            <w:hideMark/>
          </w:tcPr>
          <w:p w:rsidR="004F230C" w:rsidRPr="004F230C" w:rsidRDefault="004F230C" w:rsidP="004F230C">
            <w:pPr>
              <w:spacing w:after="0" w:line="240" w:lineRule="auto"/>
              <w:jc w:val="both"/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</w:pPr>
            <w:r w:rsidRPr="004F230C">
              <w:rPr>
                <w:rFonts w:ascii="Open Sans" w:eastAsia="Times New Roman" w:hAnsi="Open Sans" w:cs="Segoe UI"/>
                <w:color w:val="212529"/>
                <w:sz w:val="24"/>
                <w:szCs w:val="24"/>
                <w:lang w:eastAsia="cs-CZ"/>
              </w:rPr>
              <w:t>Dmitrij Ščuka</w:t>
            </w:r>
          </w:p>
        </w:tc>
      </w:tr>
    </w:tbl>
    <w:p w:rsidR="004F230C" w:rsidRDefault="004F230C" w:rsidP="004F230C">
      <w:pPr>
        <w:spacing w:after="0" w:line="240" w:lineRule="auto"/>
        <w:jc w:val="both"/>
        <w:outlineLvl w:val="3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</w:p>
    <w:p w:rsidR="004F230C" w:rsidRPr="004F230C" w:rsidRDefault="004F230C" w:rsidP="004F230C">
      <w:pPr>
        <w:spacing w:after="0" w:line="240" w:lineRule="auto"/>
        <w:jc w:val="both"/>
        <w:outlineLvl w:val="3"/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sz w:val="24"/>
          <w:szCs w:val="24"/>
          <w:lang w:eastAsia="cs-CZ"/>
        </w:rPr>
        <w:t>Chcete být součástí?</w:t>
      </w:r>
    </w:p>
    <w:p w:rsidR="004F230C" w:rsidRPr="004F230C" w:rsidRDefault="004F230C" w:rsidP="004F230C">
      <w:pPr>
        <w:spacing w:after="0" w:line="240" w:lineRule="auto"/>
        <w:jc w:val="both"/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sz w:val="24"/>
          <w:szCs w:val="24"/>
          <w:lang w:eastAsia="cs-CZ"/>
        </w:rPr>
        <w:t>V případě zájmu o připojení se k iniciativě, prosím kontaktujte tajemníka iniciativy</w:t>
      </w:r>
    </w:p>
    <w:p w:rsidR="004F230C" w:rsidRDefault="004F230C" w:rsidP="004F230C">
      <w:pPr>
        <w:spacing w:after="0" w:line="240" w:lineRule="auto"/>
        <w:outlineLvl w:val="3"/>
        <w:rPr>
          <w:rFonts w:ascii="Open Sans" w:eastAsia="Times New Roman" w:hAnsi="Open Sans" w:cs="Segoe UI"/>
          <w:b/>
          <w:bCs/>
          <w:color w:val="212529"/>
          <w:lang w:eastAsia="cs-CZ"/>
        </w:rPr>
      </w:pPr>
    </w:p>
    <w:p w:rsidR="004F230C" w:rsidRPr="004F230C" w:rsidRDefault="004F230C" w:rsidP="004F230C">
      <w:pPr>
        <w:spacing w:after="0" w:line="240" w:lineRule="auto"/>
        <w:outlineLvl w:val="3"/>
        <w:rPr>
          <w:rFonts w:ascii="Open Sans" w:eastAsia="Times New Roman" w:hAnsi="Open Sans" w:cs="Segoe UI"/>
          <w:b/>
          <w:bCs/>
          <w:color w:val="212529"/>
          <w:lang w:eastAsia="cs-CZ"/>
        </w:rPr>
      </w:pPr>
      <w:bookmarkStart w:id="0" w:name="_GoBack"/>
      <w:bookmarkEnd w:id="0"/>
      <w:r w:rsidRPr="004F230C">
        <w:rPr>
          <w:rFonts w:ascii="Open Sans" w:eastAsia="Times New Roman" w:hAnsi="Open Sans" w:cs="Segoe UI"/>
          <w:b/>
          <w:bCs/>
          <w:color w:val="212529"/>
          <w:lang w:eastAsia="cs-CZ"/>
        </w:rPr>
        <w:t xml:space="preserve">Jan Czudek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lang w:eastAsia="cs-CZ"/>
        </w:rPr>
        <w:t xml:space="preserve">předseda iniciativy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lang w:eastAsia="cs-CZ"/>
        </w:rPr>
        <w:t xml:space="preserve">TŘINECKÉ ŽELEZÁRNY, a.s.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hyperlink r:id="rId7" w:history="1">
        <w:r w:rsidRPr="004F230C">
          <w:rPr>
            <w:rFonts w:ascii="Open Sans" w:eastAsia="Times New Roman" w:hAnsi="Open Sans" w:cs="Segoe UI"/>
            <w:color w:val="FFFFFF"/>
            <w:lang w:eastAsia="cs-CZ"/>
          </w:rPr>
          <w:t>+420 558 538 001</w:t>
        </w:r>
      </w:hyperlink>
      <w:hyperlink r:id="rId8" w:history="1">
        <w:r w:rsidRPr="004F230C">
          <w:rPr>
            <w:rFonts w:ascii="Open Sans" w:eastAsia="Times New Roman" w:hAnsi="Open Sans" w:cs="Segoe UI"/>
            <w:color w:val="FFFFFF"/>
            <w:lang w:eastAsia="cs-CZ"/>
          </w:rPr>
          <w:t>jan.czudek@trz.cz</w:t>
        </w:r>
      </w:hyperlink>
    </w:p>
    <w:p w:rsidR="004F230C" w:rsidRPr="004F230C" w:rsidRDefault="004F230C" w:rsidP="004F230C">
      <w:pPr>
        <w:spacing w:after="0" w:line="240" w:lineRule="auto"/>
        <w:outlineLvl w:val="3"/>
        <w:rPr>
          <w:rFonts w:ascii="Open Sans" w:eastAsia="Times New Roman" w:hAnsi="Open Sans" w:cs="Segoe UI"/>
          <w:b/>
          <w:bCs/>
          <w:color w:val="212529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lang w:eastAsia="cs-CZ"/>
        </w:rPr>
        <w:t xml:space="preserve">David Bečvář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lang w:eastAsia="cs-CZ"/>
        </w:rPr>
        <w:t xml:space="preserve">místopředseda iniciativy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lang w:eastAsia="cs-CZ"/>
        </w:rPr>
        <w:t xml:space="preserve">AL INVEST Břidličná, a.s.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hyperlink r:id="rId9" w:history="1">
        <w:r w:rsidRPr="004F230C">
          <w:rPr>
            <w:rFonts w:ascii="Open Sans" w:eastAsia="Times New Roman" w:hAnsi="Open Sans" w:cs="Segoe UI"/>
            <w:color w:val="FFFFFF"/>
            <w:lang w:eastAsia="cs-CZ"/>
          </w:rPr>
          <w:t>+420 224 492 230</w:t>
        </w:r>
      </w:hyperlink>
      <w:hyperlink r:id="rId10" w:history="1">
        <w:r w:rsidRPr="004F230C">
          <w:rPr>
            <w:rFonts w:ascii="Open Sans" w:eastAsia="Times New Roman" w:hAnsi="Open Sans" w:cs="Segoe UI"/>
            <w:color w:val="FFFFFF"/>
            <w:lang w:eastAsia="cs-CZ"/>
          </w:rPr>
          <w:t>becvar@mtxgroup.cz</w:t>
        </w:r>
      </w:hyperlink>
    </w:p>
    <w:p w:rsidR="004F230C" w:rsidRPr="004F230C" w:rsidRDefault="004F230C" w:rsidP="004F230C">
      <w:pPr>
        <w:spacing w:after="0" w:line="240" w:lineRule="auto"/>
        <w:outlineLvl w:val="3"/>
        <w:rPr>
          <w:rFonts w:ascii="Open Sans" w:eastAsia="Times New Roman" w:hAnsi="Open Sans" w:cs="Segoe UI"/>
          <w:b/>
          <w:bCs/>
          <w:color w:val="212529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lang w:eastAsia="cs-CZ"/>
        </w:rPr>
        <w:t xml:space="preserve">David Sventek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lang w:eastAsia="cs-CZ"/>
        </w:rPr>
        <w:t xml:space="preserve">tajemník iniciativy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lang w:eastAsia="cs-CZ"/>
        </w:rPr>
        <w:t xml:space="preserve">BeePartner a.s.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hyperlink r:id="rId11" w:history="1">
        <w:r w:rsidRPr="004F230C">
          <w:rPr>
            <w:rFonts w:ascii="Open Sans" w:eastAsia="Times New Roman" w:hAnsi="Open Sans" w:cs="Segoe UI"/>
            <w:color w:val="FFFFFF"/>
            <w:lang w:eastAsia="cs-CZ"/>
          </w:rPr>
          <w:t>+420 739 204 700</w:t>
        </w:r>
      </w:hyperlink>
      <w:hyperlink r:id="rId12" w:history="1">
        <w:r w:rsidRPr="004F230C">
          <w:rPr>
            <w:rFonts w:ascii="Open Sans" w:eastAsia="Times New Roman" w:hAnsi="Open Sans" w:cs="Segoe UI"/>
            <w:color w:val="FFFFFF"/>
            <w:lang w:eastAsia="cs-CZ"/>
          </w:rPr>
          <w:t>sventek@beepartner.cz</w:t>
        </w:r>
      </w:hyperlink>
    </w:p>
    <w:p w:rsidR="004F230C" w:rsidRPr="004F230C" w:rsidRDefault="004F230C" w:rsidP="004F230C">
      <w:pPr>
        <w:spacing w:after="0" w:line="240" w:lineRule="auto"/>
        <w:outlineLvl w:val="3"/>
        <w:rPr>
          <w:rFonts w:ascii="Open Sans" w:eastAsia="Times New Roman" w:hAnsi="Open Sans" w:cs="Segoe UI"/>
          <w:b/>
          <w:bCs/>
          <w:color w:val="212529"/>
          <w:lang w:eastAsia="cs-CZ"/>
        </w:rPr>
      </w:pPr>
      <w:r w:rsidRPr="004F230C">
        <w:rPr>
          <w:rFonts w:ascii="Open Sans" w:eastAsia="Times New Roman" w:hAnsi="Open Sans" w:cs="Segoe UI"/>
          <w:b/>
          <w:bCs/>
          <w:color w:val="212529"/>
          <w:lang w:eastAsia="cs-CZ"/>
        </w:rPr>
        <w:t xml:space="preserve">Vendula Maliková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r w:rsidRPr="004F230C">
        <w:rPr>
          <w:rFonts w:ascii="Open Sans" w:eastAsia="Times New Roman" w:hAnsi="Open Sans" w:cs="Segoe UI"/>
          <w:color w:val="212529"/>
          <w:lang w:eastAsia="cs-CZ"/>
        </w:rPr>
        <w:t xml:space="preserve">asistentka iniciativy </w:t>
      </w:r>
    </w:p>
    <w:p w:rsidR="004F230C" w:rsidRPr="004F230C" w:rsidRDefault="004F230C" w:rsidP="004F230C">
      <w:pPr>
        <w:spacing w:after="0" w:line="240" w:lineRule="auto"/>
        <w:rPr>
          <w:rFonts w:ascii="Open Sans" w:eastAsia="Times New Roman" w:hAnsi="Open Sans" w:cs="Segoe UI"/>
          <w:color w:val="212529"/>
          <w:lang w:eastAsia="cs-CZ"/>
        </w:rPr>
      </w:pPr>
      <w:hyperlink r:id="rId13" w:history="1">
        <w:r w:rsidRPr="004F230C">
          <w:rPr>
            <w:rFonts w:ascii="Open Sans" w:eastAsia="Times New Roman" w:hAnsi="Open Sans" w:cs="Segoe UI"/>
            <w:color w:val="FFFFFF"/>
            <w:lang w:eastAsia="cs-CZ"/>
          </w:rPr>
          <w:t>+420 739 503 377</w:t>
        </w:r>
      </w:hyperlink>
      <w:hyperlink r:id="rId14" w:history="1">
        <w:r w:rsidRPr="004F230C">
          <w:rPr>
            <w:rFonts w:ascii="Open Sans" w:eastAsia="Times New Roman" w:hAnsi="Open Sans" w:cs="Segoe UI"/>
            <w:color w:val="FFFFFF"/>
            <w:lang w:eastAsia="cs-CZ"/>
          </w:rPr>
          <w:t>asistentka@beepartner.cz</w:t>
        </w:r>
      </w:hyperlink>
    </w:p>
    <w:p w:rsidR="00BB07A9" w:rsidRPr="004F230C" w:rsidRDefault="00BB07A9" w:rsidP="004F230C">
      <w:pPr>
        <w:spacing w:after="0" w:line="240" w:lineRule="auto"/>
        <w:jc w:val="both"/>
      </w:pPr>
    </w:p>
    <w:sectPr w:rsidR="00BB07A9" w:rsidRPr="004F230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0C" w:rsidRDefault="004F230C" w:rsidP="004F230C">
      <w:pPr>
        <w:spacing w:after="0" w:line="240" w:lineRule="auto"/>
      </w:pPr>
      <w:r>
        <w:separator/>
      </w:r>
    </w:p>
  </w:endnote>
  <w:endnote w:type="continuationSeparator" w:id="0">
    <w:p w:rsidR="004F230C" w:rsidRDefault="004F230C" w:rsidP="004F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03266"/>
      <w:docPartObj>
        <w:docPartGallery w:val="Page Numbers (Bottom of Page)"/>
        <w:docPartUnique/>
      </w:docPartObj>
    </w:sdtPr>
    <w:sdtContent>
      <w:p w:rsidR="004F230C" w:rsidRDefault="004F23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230C" w:rsidRDefault="004F23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0C" w:rsidRDefault="004F230C" w:rsidP="004F230C">
      <w:pPr>
        <w:spacing w:after="0" w:line="240" w:lineRule="auto"/>
      </w:pPr>
      <w:r>
        <w:separator/>
      </w:r>
    </w:p>
  </w:footnote>
  <w:footnote w:type="continuationSeparator" w:id="0">
    <w:p w:rsidR="004F230C" w:rsidRDefault="004F230C" w:rsidP="004F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2F85"/>
    <w:multiLevelType w:val="multilevel"/>
    <w:tmpl w:val="666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24AD1"/>
    <w:multiLevelType w:val="multilevel"/>
    <w:tmpl w:val="DF56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0C"/>
    <w:rsid w:val="004F230C"/>
    <w:rsid w:val="00B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756C-BB4A-4CD9-A509-D267EAED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30C"/>
  </w:style>
  <w:style w:type="paragraph" w:styleId="Zpat">
    <w:name w:val="footer"/>
    <w:basedOn w:val="Normln"/>
    <w:link w:val="ZpatChar"/>
    <w:uiPriority w:val="99"/>
    <w:unhideWhenUsed/>
    <w:rsid w:val="004F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316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526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172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3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175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zudek@trz.cz" TargetMode="External"/><Relationship Id="rId13" Type="http://schemas.openxmlformats.org/officeDocument/2006/relationships/hyperlink" Target="tel:+420%20739%20503%20377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%20558%20538%20001" TargetMode="External"/><Relationship Id="rId12" Type="http://schemas.openxmlformats.org/officeDocument/2006/relationships/hyperlink" Target="mailto:sventek@beepartne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20%20739%20204%207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cvar@mtxgrou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0%20224%20492%20230" TargetMode="External"/><Relationship Id="rId14" Type="http://schemas.openxmlformats.org/officeDocument/2006/relationships/hyperlink" Target="mailto:asistentka@beepartn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 Pavel Ing.</dc:creator>
  <cp:keywords/>
  <dc:description/>
  <cp:lastModifiedBy>Bartoš Pavel Ing.</cp:lastModifiedBy>
  <cp:revision>1</cp:revision>
  <dcterms:created xsi:type="dcterms:W3CDTF">2020-08-03T09:24:00Z</dcterms:created>
  <dcterms:modified xsi:type="dcterms:W3CDTF">2020-08-03T09:29:00Z</dcterms:modified>
</cp:coreProperties>
</file>